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D5" w:rsidRPr="007B322C" w:rsidRDefault="00EA6F2A" w:rsidP="008E7D6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r w:rsidRPr="00EA6F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45pt;height:759.35pt">
            <v:imagedata r:id="rId6" o:title="11А охрана труда"/>
          </v:shape>
        </w:pict>
      </w:r>
      <w:bookmarkEnd w:id="0"/>
      <w:r w:rsidR="00ED65D5"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  </w:t>
      </w:r>
      <w:r w:rsidR="00ED65D5"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ED65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общепрофессиональной  дисциплины ОП</w:t>
      </w:r>
      <w:r w:rsidR="00ED65D5"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.02</w:t>
      </w:r>
      <w:r w:rsidR="00ED65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ОП.05.</w:t>
      </w:r>
      <w:r w:rsidR="00ED65D5"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«Охрана труда» разработана на основе Федерального государственного образовательного стандарта по профессии </w:t>
      </w:r>
      <w:r w:rsidR="00ED65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="00ED65D5"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образования</w:t>
      </w:r>
    </w:p>
    <w:p w:rsidR="00ED65D5" w:rsidRPr="001F525E" w:rsidRDefault="00ED65D5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23.01.17. «Мастер по ремонту и обслуживанию автомобилей»</w:t>
      </w:r>
    </w:p>
    <w:p w:rsidR="00ED65D5" w:rsidRPr="001F525E" w:rsidRDefault="00ED65D5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Pr="001F525E" w:rsidRDefault="00ED65D5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5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– разработчик: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2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ГБПОУРХ ПУ-18</w:t>
      </w:r>
    </w:p>
    <w:p w:rsidR="00ED65D5" w:rsidRPr="001F525E" w:rsidRDefault="00ED65D5" w:rsidP="008E7D6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ED65D5" w:rsidRDefault="00ED65D5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Ахпашев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В.Ю.</w:t>
      </w:r>
      <w:r w:rsidRPr="007B3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преподаватель </w:t>
      </w:r>
    </w:p>
    <w:p w:rsidR="00ED65D5" w:rsidRDefault="00ED65D5" w:rsidP="008E7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</w:p>
    <w:p w:rsidR="00ED65D5" w:rsidRDefault="00ED65D5" w:rsidP="007B32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1.Паспорт программы учебной дисциплины         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Результаты освоения учебной дисциплины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.Структура и примерное содержание учебной дис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циплины                        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.Условия реализации программы учебной дисциплины            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ED65D5" w:rsidRPr="007B322C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.Контроль и оценка результатов освоения уч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ебной дисциплины              </w:t>
      </w:r>
    </w:p>
    <w:p w:rsidR="00ED65D5" w:rsidRPr="007B322C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ED65D5" w:rsidRPr="00912E15" w:rsidRDefault="00ED65D5" w:rsidP="00E307C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УЧЕБНОЙ </w:t>
      </w:r>
      <w:r w:rsidRPr="00E307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ОПД.02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ОП.05.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«ОХРАНА ТРУДА»</w:t>
      </w:r>
    </w:p>
    <w:p w:rsidR="00ED65D5" w:rsidRPr="00E307C2" w:rsidRDefault="00ED65D5" w:rsidP="00E307C2">
      <w:pPr>
        <w:pStyle w:val="a4"/>
        <w:numPr>
          <w:ilvl w:val="1"/>
          <w:numId w:val="2"/>
        </w:numPr>
        <w:spacing w:after="0" w:line="240" w:lineRule="auto"/>
        <w:ind w:right="-184"/>
        <w:jc w:val="both"/>
        <w:rPr>
          <w:rFonts w:ascii="Arial" w:hAnsi="Arial" w:cs="Arial"/>
          <w:color w:val="000000"/>
          <w:lang w:eastAsia="ru-RU"/>
        </w:rPr>
      </w:pPr>
      <w:r w:rsidRPr="00E307C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Область применения рабочей программы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   Рабочая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учебной дисциплины ОП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ОП.05.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«Охрана труда» является частью рабочей основной профессиональной образовательной программы в соответствии с ФГОС, утвержденного Приказом Министерства образования и науки Росси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йской Федерации от 9 декабря 2016года. № 1581, по профессии среднего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23.01.17. «Мастер по ремонту и обслуживанию автомобилей»</w:t>
      </w:r>
    </w:p>
    <w:p w:rsidR="00ED65D5" w:rsidRPr="007B322C" w:rsidRDefault="00ED65D5" w:rsidP="007B322C">
      <w:pPr>
        <w:spacing w:after="0" w:line="240" w:lineRule="auto"/>
        <w:ind w:right="-184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ED65D5" w:rsidRPr="007B322C" w:rsidRDefault="00ED65D5" w:rsidP="007B322C">
      <w:pPr>
        <w:spacing w:after="0" w:line="240" w:lineRule="auto"/>
        <w:ind w:right="-18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Учебная дисциплина ОП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ОП.05.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«Охрана труда» входит в общепрофессиональный цикл.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 применять методы и средства защиты от опасностей технических систем и технологических процессов;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обеспечивать безопасные условия труда в профессиональной деятельности;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вредные факторы в профессиональной деятельности;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экобиозащитную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технику.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 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воздействие негативных факторов на человека;</w:t>
      </w:r>
    </w:p>
    <w:p w:rsidR="00ED65D5" w:rsidRPr="007B322C" w:rsidRDefault="00ED65D5" w:rsidP="007B322C">
      <w:pPr>
        <w:spacing w:after="0" w:line="240" w:lineRule="auto"/>
        <w:ind w:right="-188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правовые, нормативные и организационные основы охраны труда в организации.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88 часов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ED65D5" w:rsidRPr="007B322C" w:rsidRDefault="00ED65D5" w:rsidP="007B322C">
      <w:pPr>
        <w:spacing w:after="0" w:line="240" w:lineRule="auto"/>
        <w:ind w:left="360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84 </w:t>
      </w:r>
      <w:r w:rsidRPr="007B322C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часа;</w:t>
      </w:r>
    </w:p>
    <w:p w:rsidR="00ED65D5" w:rsidRDefault="00ED65D5" w:rsidP="007B32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 часа</w:t>
      </w:r>
    </w:p>
    <w:p w:rsidR="00ED65D5" w:rsidRDefault="00ED65D5" w:rsidP="007B322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ED65D5" w:rsidRPr="005E5F45" w:rsidRDefault="00ED65D5" w:rsidP="005E5F45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5E5F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Результаты освоения учебной дисциплины                                          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hAnsi="Arial" w:cs="Arial"/>
          <w:color w:val="000000"/>
          <w:sz w:val="21"/>
          <w:szCs w:val="21"/>
          <w:lang w:eastAsia="ru-RU"/>
        </w:rPr>
        <w:t xml:space="preserve"> 1. 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Выбирать способы решения задач профессиональной деятельности, применительно к различным контекстам.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 w:rsidRPr="00552AE5">
        <w:rPr>
          <w:rFonts w:ascii="Arial" w:hAnsi="Arial" w:cs="Arial"/>
          <w:color w:val="000000"/>
          <w:sz w:val="21"/>
          <w:szCs w:val="21"/>
          <w:lang w:eastAsia="ru-RU"/>
        </w:rPr>
        <w:t xml:space="preserve"> 2.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3. Планировать и реализовывать собственное профессиональное и личностное развитие.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4. Работать в коллективе и команде, эффективно взаимодействовать с коллегами, руководством, клиентами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proofErr w:type="gramStart"/>
      <w:r w:rsidRPr="00552AE5">
        <w:rPr>
          <w:rFonts w:ascii="Arial" w:hAnsi="Arial" w:cs="Arial"/>
          <w:color w:val="000000"/>
          <w:sz w:val="21"/>
          <w:szCs w:val="21"/>
          <w:lang w:eastAsia="ru-RU"/>
        </w:rPr>
        <w:t>ОК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7. Содействовать сохранению окружающей среды, ресурсосбережению, эффективно действовать в чрезвычайных ситуациях.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ОК.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ОК.9. Использовать информационные технологии в профессиональной деятельности.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ОК.10. Пользоваться профессиональной документацией на государственном и иностранном языке.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ОК.11. Планировать предпринимательскую деятельность в профессиональной сфере.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Основные виды деятельности: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3.4.1. Определять техническое состояние систем, агрегатов, деталей и механизмов автомобиля.</w:t>
      </w:r>
    </w:p>
    <w:p w:rsidR="00ED65D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3.4.2</w:t>
      </w:r>
      <w:proofErr w:type="gramStart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>
        <w:rPr>
          <w:rFonts w:ascii="Arial" w:hAnsi="Arial" w:cs="Arial"/>
          <w:color w:val="000000"/>
          <w:sz w:val="21"/>
          <w:szCs w:val="21"/>
          <w:lang w:eastAsia="ru-RU"/>
        </w:rPr>
        <w:t>существлять ТО автотранспорта согласно требованиям нормативно-технической документации.</w:t>
      </w:r>
    </w:p>
    <w:p w:rsidR="00ED65D5" w:rsidRPr="00552AE5" w:rsidRDefault="00ED65D5" w:rsidP="00E61702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D65D5" w:rsidRDefault="00ED65D5" w:rsidP="007F73F7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D65D5" w:rsidRDefault="00ED65D5" w:rsidP="007F73F7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D65D5" w:rsidRDefault="00ED65D5" w:rsidP="007F73F7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D65D5" w:rsidRPr="007F73F7" w:rsidRDefault="00ED65D5" w:rsidP="007F73F7">
      <w:pPr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  <w:sectPr w:rsidR="00ED65D5" w:rsidRPr="007F7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СТРУКТУРА И ПРИМЕРНОЕ СОДЕРЖАНИЕ УЧЕБНОЙ ДИСЦИПЛИНЫ</w:t>
      </w:r>
    </w:p>
    <w:p w:rsidR="00ED65D5" w:rsidRPr="007B322C" w:rsidRDefault="00ED65D5" w:rsidP="007B322C">
      <w:pPr>
        <w:spacing w:after="0" w:line="240" w:lineRule="auto"/>
        <w:ind w:left="-180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1230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18"/>
        <w:gridCol w:w="2282"/>
      </w:tblGrid>
      <w:tr w:rsidR="00ED65D5" w:rsidRPr="00D636BF">
        <w:trPr>
          <w:trHeight w:val="46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1" w:name="f06db7be9981b5aef02bf87e200ed0857efb9c42"/>
            <w:bookmarkStart w:id="2" w:name="BM0"/>
            <w:bookmarkEnd w:id="1"/>
            <w:bookmarkEnd w:id="2"/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D65D5" w:rsidRPr="00D636BF">
        <w:trPr>
          <w:trHeight w:val="280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ED65D5" w:rsidRPr="00D636BF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3C7E8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D65D5" w:rsidRPr="00D636BF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2"/>
                <w:lang w:eastAsia="ru-RU"/>
              </w:rPr>
            </w:pPr>
          </w:p>
        </w:tc>
      </w:tr>
      <w:tr w:rsidR="00ED65D5" w:rsidRPr="00D636BF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теоретических занятий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684E4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D65D5" w:rsidRPr="00D636BF">
        <w:trPr>
          <w:trHeight w:val="346"/>
        </w:trPr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D65D5" w:rsidRPr="00D636BF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3626B0" w:rsidRDefault="00ED65D5" w:rsidP="000C56B7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Промежуточная </w:t>
            </w:r>
            <w:r w:rsidRPr="00362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аттестация в 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дифференцированного </w:t>
            </w:r>
            <w:r w:rsidRPr="003626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c>
          <w:tcPr>
            <w:tcW w:w="10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обучающегося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рефераты)</w:t>
            </w:r>
          </w:p>
          <w:p w:rsidR="00ED65D5" w:rsidRPr="007B322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№1.</w:t>
            </w: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понятия и термины предмета охрана труда.</w:t>
            </w:r>
          </w:p>
          <w:p w:rsidR="00ED65D5" w:rsidRPr="007B322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№2. </w:t>
            </w: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права работников на труд в условиях, соответствующих требованиям охраны труда.</w:t>
            </w:r>
          </w:p>
          <w:p w:rsidR="00ED65D5" w:rsidRPr="007B322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№3. </w:t>
            </w: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Льготы и компенсации, предоставляемые работникам при выполнении работ с вредными и опасными условиями труда.</w:t>
            </w:r>
          </w:p>
          <w:p w:rsidR="00ED65D5" w:rsidRPr="007B322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B3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№4. </w:t>
            </w:r>
            <w:r w:rsidRPr="007B32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ответственности за нарушение требований охраны труда.</w:t>
            </w:r>
          </w:p>
          <w:p w:rsidR="00ED65D5" w:rsidRPr="007B322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  <w:p w:rsidR="00ED65D5" w:rsidRPr="007B322C" w:rsidRDefault="00ED65D5" w:rsidP="007B322C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7B322C" w:rsidRDefault="00ED65D5" w:rsidP="003C7E8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2.2. Тематический план и содержание учебной дисциплины «Охрана труда».</w:t>
      </w:r>
    </w:p>
    <w:tbl>
      <w:tblPr>
        <w:tblW w:w="1478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3"/>
        <w:gridCol w:w="8368"/>
        <w:gridCol w:w="839"/>
        <w:gridCol w:w="1076"/>
      </w:tblGrid>
      <w:tr w:rsidR="00ED65D5" w:rsidRPr="00D636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a815a044f33e9a742710fc064b9d7f14af6d3d13"/>
            <w:bookmarkStart w:id="4" w:name="BM1"/>
            <w:bookmarkEnd w:id="3"/>
            <w:bookmarkEnd w:id="4"/>
          </w:p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ED65D5" w:rsidRPr="00D636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25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</w:t>
            </w: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понятия и терминология охраны труда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Цели, задачи и предмет изучения охраны труда. Безопасность труда как область знаний. </w:t>
            </w:r>
            <w:proofErr w:type="gramStart"/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безопасности труда: труд, производственная деятельность, рабочая зона, рабочее место, производственная безопасность, производственная санитария, гигиена труда, травма, несчастный случай, профессиональное заболевание, негативные факторы, опасность, опасные производственные факторы, вредные производственные факторы, риск.</w:t>
            </w:r>
            <w:proofErr w:type="gramEnd"/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Идентификация опасностей. Классификация условий труда по тяжести и напряженности трудового процесса. Классификация условий труда по факторам производственной среды.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rPr>
          <w:trHeight w:val="8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законодательства об охране труда.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законодательства об охране на автомобильном транспорте. Основные направления государственной политики в области охраны труда.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работников на труд в условиях, соответствующих требованиям охраны труда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работников в области охраны труда. Гарантии прав работников в области охраны труда. Ограничения и льготы для работников в области охраны труда.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управления охраной труда на предприятиях автомобильного транспорта.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вопросы государственного управления охраной труда. Организация управления охраной труда на предприятии. Обязанности работников службы охраны труда.  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23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требований охраны труда.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за нарушение требований охраны труда возлагается на работодателя. Дисциплинарная и административная ответственность. Уголовная ответственность.   </w:t>
            </w:r>
          </w:p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rPr>
          <w:trHeight w:val="28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надзора за соблюдением законодательств об охране труда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684E4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надзор и контроль. Государственная экспертиза условий труда. Общественный и ведомственный контроль охраны труда.  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27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Производственный травматизм и профессиональные заболевания.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положения. Методы изучения причин производственного травматизма и профессиональных заболеваний. Методика оценки уровня охраны труда на предприятии.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2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и учет несчастных случаев на производстве.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Расследование несчастных случаев. Порядок оформления и учета несчастных случаев.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4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A5282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Профессиональный отбор и обучение </w:t>
            </w:r>
            <w:proofErr w:type="gramStart"/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охраны труда.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1.10.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социальное страхование.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1.11.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и технические противопожарные мероприятия.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1.12.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Классификация производственных помещений и зон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пожаробезопасности.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1.13.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обнаружения и тушения пожаров.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1.14.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пожарной безопасности к складам, помещениям и ремонтных мастерских.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1.15.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санитарии к производству.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1.16.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производственной вентиляции и кондиционированию.</w:t>
            </w:r>
          </w:p>
          <w:p w:rsidR="00ED65D5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1.17.</w:t>
            </w:r>
          </w:p>
          <w:p w:rsidR="00ED65D5" w:rsidRPr="00A52820" w:rsidRDefault="00ED65D5" w:rsidP="00D07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производственного шума и вибрации.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Профессиональный отбор и обучение </w:t>
            </w:r>
            <w:proofErr w:type="gramStart"/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 охраны труда.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основные принципы социального страхования.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Огнестойкость зданий.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Взрывоопасные зоны класса В-1, Зоны класса В-1а, Зоны класса В-1б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Автоматические пожарные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Простейший пожарный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теплового типа.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 нефтепродуктов, Склады угля. Склады и цехи ремонтных предприятий.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предотвращающие действие на работающих вредных производственных факторов.</w:t>
            </w:r>
          </w:p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Естественная вентиляция. Механическая вентиляция.</w:t>
            </w:r>
          </w:p>
          <w:p w:rsidR="00ED65D5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5D5" w:rsidRPr="004F5CEC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Гигиенические нормы шума, инф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и ультразвука.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65D5" w:rsidRPr="004F5CEC" w:rsidRDefault="00ED65D5" w:rsidP="00AF02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8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8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8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96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96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Тема 1.18</w:t>
            </w:r>
          </w:p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Вредные вещества и защита от них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Техника безопасности при работе с вредными веществами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96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Тема 1.19.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Требования к производственному освещению.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Общие сведения.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Гигиеническое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нормирования освещения. Расчет освещения.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96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Тема 1.20.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Основы электробезопасности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Действие электрического тока на организм человека.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96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E307C2" w:rsidRDefault="00ED65D5" w:rsidP="007B322C">
            <w:pPr>
              <w:spacing w:after="0" w:line="20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E307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4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2.1.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Микроклимат в производственных помещениях.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Микроклимат в производственных помещениях.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74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rPr>
          <w:trHeight w:val="42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Запыленность и загазованность воздуха в производственных помещениях.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66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Вентиляция.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приточно-вытяжной вентиляции.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42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rPr>
          <w:trHeight w:val="3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rPr>
          <w:trHeight w:val="5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водяного отопления. Комбинированные системы отопления.</w:t>
            </w:r>
          </w:p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Водоснабжение и канализация.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водопроводов для предприятия. Системы канализации.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60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3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2.6.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освещение.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светового потока, освещенности и яркости.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46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65D5" w:rsidRPr="00D636BF">
        <w:trPr>
          <w:trHeight w:val="26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2.7.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от шума и вибрации.</w:t>
            </w: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шума и вибрации. Интенсивность звука.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44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200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0D483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AF02CE">
            <w:pPr>
              <w:spacing w:after="0" w:line="20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3-курс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Тема 3.1.</w:t>
            </w:r>
          </w:p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Требования безопасности к конструкции автомобильного транспорта.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Общие требования техники безопасности к конструкции.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Тема 3.2.</w:t>
            </w:r>
          </w:p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Индивидуальные средства защиты.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Средства защиты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.                                            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                         Тема 3.3.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Требования безопасности к работе в особых условиях и с различными веществами.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Вождение в сложных дорожных условиях. Езда в ночное время и в тумане.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Тема 3.4.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Безопасность при внутрихозяйственной перевозке грузов.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Перевозка в тяжелых дорожных или погодных условиях.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Тема 3.5.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Мойка машин, агрегатов, узлов и деталей.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Соблюдение экологической безопасности при мойке машин и деталей.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Тема 3.6.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Работы сборочно-разборочные и слесарные.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Соблюдение техники безопасности при ремонте автомобиля.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Тема 3.7.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Безопасность труда на металлообрабатывающих станках.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Кузнечно-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пресовое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оборудование. Ножницы и пилы. Станки для абразивной обработки.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Тема 3.8.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Кузнечно-прессовые и жестяно-медницкие работы.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Кузнечно-прессовые работы. Жестяно-медницкие работы.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Тема 3.9.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Шиномонтажные работы.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ТБ при работе на шиномонтажном оборудовании.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Тема 3.10.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Окрасочные работы.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Соблюдение ТБ и экологической безопасности.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 Тема 3.11.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Обслуживание и ремонт аккумуляторов.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ТБ при работе в аккумуляторном цеху.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 Тема 3.12.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Освобождение пораженного током от его воздействия.</w:t>
            </w:r>
            <w:proofErr w:type="gramEnd"/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Последовательность действий при оказании помощи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пораженного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током.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lastRenderedPageBreak/>
              <w:t xml:space="preserve">                             Тема 3.13.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Оказание помощи при ожогах.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Последовательность действий при оказании помощи при ожогах.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880"/>
        </w:trPr>
        <w:tc>
          <w:tcPr>
            <w:tcW w:w="4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 xml:space="preserve">                             Тема 3.14.</w:t>
            </w:r>
          </w:p>
          <w:p w:rsidR="00ED65D5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Оказание помощи при других несчастных случаях.</w:t>
            </w:r>
          </w:p>
        </w:tc>
        <w:tc>
          <w:tcPr>
            <w:tcW w:w="8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 переломах и вывихах. При отравлениях. При попадании инородного тела.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65D5" w:rsidRPr="00D636BF">
        <w:trPr>
          <w:trHeight w:val="2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ED65D5" w:rsidRPr="00D636B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5CE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D65D5" w:rsidRPr="004F5CEC" w:rsidRDefault="00ED65D5" w:rsidP="007B322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84 часа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5D5" w:rsidRPr="004F5CEC" w:rsidRDefault="00ED65D5" w:rsidP="007B322C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D65D5" w:rsidSect="009835D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словия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учебной</w:t>
      </w: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дисциплины</w:t>
      </w:r>
    </w:p>
    <w:p w:rsidR="00ED65D5" w:rsidRPr="007B322C" w:rsidRDefault="00ED65D5" w:rsidP="007B322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3.1. Требования к минимальному материально-техническому обеспечению: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программы дисциплины ОПД.02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.ОП 05.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«Охрана труда» требует наличия учебного кабинета.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учебного кабинета: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посадочные места по количеству обучающихся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посадочных мест;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 – 1 место;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комплекты стендов: «Медико-санитарная подготовка», «Гражданская оборона»;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комплекты плакатов: «Безопасность жизнедеятельности», «Охрана труда», «Медико-с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анитарная подготовка»</w:t>
      </w: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табельных и подручных сре</w:t>
      </w: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оказания первой доврачебной медицинской помощи;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средств индивидуальной защиты (противогазы, респираторы,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противодымные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маски);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первичных средств пожаротушения;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бланков документации;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proofErr w:type="gram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комплект дидактического материала (карточки-задания, тесты, раздаточный материал для</w:t>
      </w:r>
      <w:proofErr w:type="gramEnd"/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выполнения практических и контрольных работ);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комплект мультимедийных презентаций,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экран.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рабочих мест: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рабочее место учащихся;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письменные принадлежности.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3.2. Информационное обеспечение обучения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рекомендуемых учебных изданий,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Интернет-ресурсов, дополнительной литературы</w:t>
      </w:r>
    </w:p>
    <w:p w:rsidR="00ED65D5" w:rsidRPr="007B322C" w:rsidRDefault="00ED65D5" w:rsidP="007B322C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источники:</w:t>
      </w: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Девисилов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Охрана труда: Учебник. – М.: ИНФРА-М, 2009</w:t>
      </w: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Кланица</w:t>
      </w:r>
      <w:proofErr w:type="spellEnd"/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В.С. Охрана труда на автомобильном транспорте. – М.: Академия, 2010     </w:t>
      </w: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D65D5" w:rsidRPr="007B322C" w:rsidRDefault="00ED65D5" w:rsidP="007B322C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7B32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ED65D5" w:rsidRDefault="00ED65D5" w:rsidP="007B322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ED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5D5" w:rsidRDefault="00ED65D5" w:rsidP="009C6755">
      <w:pPr>
        <w:spacing w:after="0" w:line="240" w:lineRule="auto"/>
      </w:pPr>
    </w:p>
    <w:sectPr w:rsidR="00ED65D5" w:rsidSect="00684E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B7E"/>
    <w:multiLevelType w:val="multilevel"/>
    <w:tmpl w:val="ED927F7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bCs/>
        <w:sz w:val="24"/>
        <w:szCs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ascii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bCs/>
        <w:sz w:val="24"/>
        <w:szCs w:val="24"/>
      </w:rPr>
    </w:lvl>
  </w:abstractNum>
  <w:abstractNum w:abstractNumId="1">
    <w:nsid w:val="4E0727DD"/>
    <w:multiLevelType w:val="hybridMultilevel"/>
    <w:tmpl w:val="34305C2C"/>
    <w:lvl w:ilvl="0" w:tplc="6954439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E92"/>
    <w:rsid w:val="00064ACF"/>
    <w:rsid w:val="000C56B7"/>
    <w:rsid w:val="000D483A"/>
    <w:rsid w:val="00131BC8"/>
    <w:rsid w:val="00163977"/>
    <w:rsid w:val="001B69A9"/>
    <w:rsid w:val="001F525E"/>
    <w:rsid w:val="00290F34"/>
    <w:rsid w:val="002A225B"/>
    <w:rsid w:val="002E27BB"/>
    <w:rsid w:val="002F16AC"/>
    <w:rsid w:val="00312E92"/>
    <w:rsid w:val="003463D5"/>
    <w:rsid w:val="00356589"/>
    <w:rsid w:val="003626B0"/>
    <w:rsid w:val="003C7E81"/>
    <w:rsid w:val="0048416E"/>
    <w:rsid w:val="004D035F"/>
    <w:rsid w:val="004F5CEC"/>
    <w:rsid w:val="004F5E76"/>
    <w:rsid w:val="004F7644"/>
    <w:rsid w:val="0050365D"/>
    <w:rsid w:val="00552AE5"/>
    <w:rsid w:val="005E5F45"/>
    <w:rsid w:val="006450D9"/>
    <w:rsid w:val="00684E45"/>
    <w:rsid w:val="006F5306"/>
    <w:rsid w:val="007855C7"/>
    <w:rsid w:val="007B322C"/>
    <w:rsid w:val="007C1B7E"/>
    <w:rsid w:val="007E48C4"/>
    <w:rsid w:val="007F73F7"/>
    <w:rsid w:val="008E7D6E"/>
    <w:rsid w:val="008F6A86"/>
    <w:rsid w:val="00912E15"/>
    <w:rsid w:val="009441B3"/>
    <w:rsid w:val="009835DF"/>
    <w:rsid w:val="00991999"/>
    <w:rsid w:val="009C6755"/>
    <w:rsid w:val="00A14A5C"/>
    <w:rsid w:val="00A25B08"/>
    <w:rsid w:val="00A52820"/>
    <w:rsid w:val="00AE35DD"/>
    <w:rsid w:val="00AF02CE"/>
    <w:rsid w:val="00B87282"/>
    <w:rsid w:val="00C0148F"/>
    <w:rsid w:val="00D07B45"/>
    <w:rsid w:val="00D636BF"/>
    <w:rsid w:val="00D800F6"/>
    <w:rsid w:val="00D80129"/>
    <w:rsid w:val="00DF361D"/>
    <w:rsid w:val="00E307C2"/>
    <w:rsid w:val="00E61702"/>
    <w:rsid w:val="00E623EC"/>
    <w:rsid w:val="00EA6F2A"/>
    <w:rsid w:val="00EB402B"/>
    <w:rsid w:val="00ED65D5"/>
    <w:rsid w:val="00F20896"/>
    <w:rsid w:val="00F260DA"/>
    <w:rsid w:val="00F73B9B"/>
    <w:rsid w:val="00F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uiPriority w:val="99"/>
    <w:rsid w:val="007B322C"/>
  </w:style>
  <w:style w:type="character" w:customStyle="1" w:styleId="c15">
    <w:name w:val="c15"/>
    <w:basedOn w:val="a0"/>
    <w:uiPriority w:val="99"/>
    <w:rsid w:val="007B322C"/>
  </w:style>
  <w:style w:type="character" w:customStyle="1" w:styleId="c23">
    <w:name w:val="c23"/>
    <w:basedOn w:val="a0"/>
    <w:uiPriority w:val="99"/>
    <w:rsid w:val="007B322C"/>
  </w:style>
  <w:style w:type="paragraph" w:customStyle="1" w:styleId="c36">
    <w:name w:val="c36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7B322C"/>
  </w:style>
  <w:style w:type="paragraph" w:customStyle="1" w:styleId="c2">
    <w:name w:val="c2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B322C"/>
  </w:style>
  <w:style w:type="character" w:styleId="a3">
    <w:name w:val="Hyperlink"/>
    <w:uiPriority w:val="99"/>
    <w:semiHidden/>
    <w:rsid w:val="007B322C"/>
    <w:rPr>
      <w:color w:val="0000FF"/>
      <w:u w:val="single"/>
    </w:rPr>
  </w:style>
  <w:style w:type="paragraph" w:customStyle="1" w:styleId="c57">
    <w:name w:val="c57"/>
    <w:basedOn w:val="a"/>
    <w:uiPriority w:val="99"/>
    <w:rsid w:val="007B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307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2036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ElenaAleksandrovna</cp:lastModifiedBy>
  <cp:revision>23</cp:revision>
  <cp:lastPrinted>2017-11-29T09:32:00Z</cp:lastPrinted>
  <dcterms:created xsi:type="dcterms:W3CDTF">2015-09-01T06:46:00Z</dcterms:created>
  <dcterms:modified xsi:type="dcterms:W3CDTF">2019-11-01T08:33:00Z</dcterms:modified>
</cp:coreProperties>
</file>