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F4" w:rsidRDefault="00A76CF4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696454" cy="9545934"/>
            <wp:effectExtent l="0" t="0" r="0" b="0"/>
            <wp:docPr id="1" name="Рисунок 1" descr="C:\Users\ElenaAleksandrovna\Desktop\РП 2021-2022\Ченкова ЭФ\сканы\Охрана труда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2021-2022\Ченкова ЭФ\сканы\Охрана труда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263" cy="955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16" w:rsidRPr="00A76CF4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C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Рабочая программа общепрофессиональной  дисциплины  ОП.02 «Охрана труда» разработана на основе Федерального государственного образовательного стандарта по профессии среднего  профессионального образования </w:t>
      </w:r>
      <w:r w:rsidRPr="00A76CF4">
        <w:rPr>
          <w:rFonts w:ascii="Times New Roman" w:hAnsi="Times New Roman" w:cs="Times New Roman"/>
          <w:b/>
          <w:sz w:val="24"/>
          <w:szCs w:val="24"/>
        </w:rPr>
        <w:t xml:space="preserve"> 43.01.09 «Повар, кондитер»</w:t>
      </w:r>
    </w:p>
    <w:p w:rsidR="00974016" w:rsidRPr="00A76CF4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74016" w:rsidRPr="00A76CF4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74016" w:rsidRPr="00A76CF4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C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– разработчик: ГБПОУРХ ПУ-18</w:t>
      </w:r>
    </w:p>
    <w:p w:rsidR="00974016" w:rsidRPr="00A76CF4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74016" w:rsidRPr="00A76CF4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6C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</w:t>
      </w:r>
      <w:proofErr w:type="spellStart"/>
      <w:r w:rsidRPr="00A76C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Ченкова</w:t>
      </w:r>
      <w:proofErr w:type="spellEnd"/>
      <w:r w:rsidRPr="00A76C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Э.Ф.– преподаватель </w:t>
      </w:r>
    </w:p>
    <w:p w:rsidR="00974016" w:rsidRPr="00A76CF4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74016" w:rsidRPr="00A76CF4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76CF4" w:rsidRDefault="00A76CF4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974016" w:rsidRDefault="00974016" w:rsidP="009740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974016" w:rsidRDefault="00974016" w:rsidP="00974016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1.Паспорт программы учебной дисциплины         </w:t>
      </w:r>
    </w:p>
    <w:p w:rsidR="00807C8A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Результаты освоения учебной дисциплины </w:t>
      </w:r>
    </w:p>
    <w:p w:rsidR="00974016" w:rsidRDefault="00807C8A" w:rsidP="009740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 Личностные результаты в ходе реализации учебной дисциплины</w:t>
      </w:r>
      <w:r w:rsidR="009740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</w:t>
      </w: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3.Структура и примерное содержание учебной дисциплины                        </w:t>
      </w: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4.Условия реализации программы учебной дисциплины                             </w:t>
      </w: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5.Контроль и оценка результатов освоения учебной дисциплины              </w:t>
      </w: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974016" w:rsidRDefault="00974016" w:rsidP="00974016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974016" w:rsidRDefault="00974016" w:rsidP="00974016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974016" w:rsidRDefault="00974016" w:rsidP="00974016">
      <w:pPr>
        <w:pStyle w:val="a3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1.ПАСПОРТ УЧЕБНОЙ  ПРОГРАММЫ </w:t>
      </w:r>
    </w:p>
    <w:p w:rsidR="00974016" w:rsidRDefault="00974016" w:rsidP="00974016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 02  «ОХРАНА ТРУДА»</w:t>
      </w:r>
    </w:p>
    <w:p w:rsidR="00974016" w:rsidRDefault="00974016" w:rsidP="00974016">
      <w:pPr>
        <w:spacing w:after="0" w:line="240" w:lineRule="auto"/>
        <w:ind w:right="-184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1.1.Область применения рабочей программы</w:t>
      </w: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Рабочая программа учебной дисциплины ОП 02 «Охрана труда» является частью рабочей основной профессиональной образовательной программы в соответствии с ФГОС, утвержденного Приказом Министерства образования и науки Российской Федерации от 9 декабря 2016года. № 1581, по профессии среднего профессионального образования</w:t>
      </w:r>
    </w:p>
    <w:p w:rsidR="00974016" w:rsidRDefault="00974016" w:rsidP="00974016">
      <w:pPr>
        <w:tabs>
          <w:tab w:val="left" w:pos="3936"/>
        </w:tabs>
        <w:rPr>
          <w:b/>
        </w:rPr>
      </w:pPr>
      <w:r>
        <w:rPr>
          <w:b/>
        </w:rPr>
        <w:t>08.01.25 «Мастер отделочных строительных и декоративных работ»</w:t>
      </w:r>
    </w:p>
    <w:p w:rsidR="00974016" w:rsidRDefault="00974016" w:rsidP="00974016">
      <w:pPr>
        <w:spacing w:after="0" w:line="240" w:lineRule="auto"/>
        <w:ind w:right="-184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</w:t>
      </w:r>
    </w:p>
    <w:p w:rsidR="00974016" w:rsidRDefault="00974016" w:rsidP="00974016">
      <w:pPr>
        <w:spacing w:after="0" w:line="240" w:lineRule="auto"/>
        <w:ind w:right="-184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Учебная дисциплина ОП 02 «Охрана труда» входит в общепрофессиональный цикл.</w:t>
      </w: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74016" w:rsidRDefault="00974016" w:rsidP="00974016">
      <w:pPr>
        <w:spacing w:after="0" w:line="240" w:lineRule="auto"/>
        <w:ind w:right="-18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 применять методы и средства защиты от опасностей технических систем и технологических процессов;</w:t>
      </w:r>
    </w:p>
    <w:p w:rsidR="00974016" w:rsidRDefault="00974016" w:rsidP="00974016">
      <w:pPr>
        <w:spacing w:after="0" w:line="240" w:lineRule="auto"/>
        <w:ind w:right="-18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обеспечивать безопасные условия труда в профессиональной деятельности;</w:t>
      </w:r>
    </w:p>
    <w:p w:rsidR="00974016" w:rsidRDefault="00974016" w:rsidP="00974016">
      <w:pPr>
        <w:spacing w:after="0" w:line="240" w:lineRule="auto"/>
        <w:ind w:right="-18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травмоопасные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вредные факторы в профессиональной деятельности;</w:t>
      </w:r>
    </w:p>
    <w:p w:rsidR="00974016" w:rsidRDefault="00974016" w:rsidP="00974016">
      <w:pPr>
        <w:spacing w:after="0" w:line="240" w:lineRule="auto"/>
        <w:ind w:right="-18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экобиозащитную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технику.</w:t>
      </w:r>
    </w:p>
    <w:p w:rsidR="00974016" w:rsidRDefault="00974016" w:rsidP="00974016">
      <w:pPr>
        <w:spacing w:after="0" w:line="240" w:lineRule="auto"/>
        <w:ind w:right="-18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974016" w:rsidRDefault="00974016" w:rsidP="00974016">
      <w:pPr>
        <w:spacing w:after="0" w:line="240" w:lineRule="auto"/>
        <w:ind w:right="-18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воздействие негативных факторов на человека;</w:t>
      </w:r>
    </w:p>
    <w:p w:rsidR="00974016" w:rsidRDefault="00974016" w:rsidP="00974016">
      <w:pPr>
        <w:spacing w:after="0" w:line="240" w:lineRule="auto"/>
        <w:ind w:right="-188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правовые, нормативные и организационные основы охраны труда в организации.</w:t>
      </w: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1.4. Количество часов на освоение рабочей программы учебной дисциплины:</w:t>
      </w:r>
    </w:p>
    <w:p w:rsidR="00974016" w:rsidRDefault="00974016" w:rsidP="00974016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30 часов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974016" w:rsidRDefault="00974016" w:rsidP="0097401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часов;</w:t>
      </w:r>
    </w:p>
    <w:p w:rsidR="00974016" w:rsidRDefault="00974016" w:rsidP="0097401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2. Результаты освоения учебной дисциплины                                          </w:t>
      </w: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lang w:eastAsia="ru-RU"/>
        </w:rPr>
        <w:t>ОК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1. Выбирать способы решения задач профессиональной деятельности, применительно к различным контекстам.</w:t>
      </w: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lang w:eastAsia="ru-RU"/>
        </w:rPr>
        <w:t>ОК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2. Осуществлять поиск, анализ и интерпретацию информации, необходимой для выполнения задач профессиональной деятельности.</w:t>
      </w: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lang w:eastAsia="ru-RU"/>
        </w:rPr>
        <w:t>ОК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3. Планировать и реализовывать собственное профессиональное и личностное развитие.</w:t>
      </w: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lang w:eastAsia="ru-RU"/>
        </w:rPr>
        <w:t>ОК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4. Работать в коллективе и команде, эффективно взаимодействовать с коллегами, руководством, клиентами</w:t>
      </w: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lang w:eastAsia="ru-RU"/>
        </w:rPr>
        <w:t>ОК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lang w:eastAsia="ru-RU"/>
        </w:rPr>
        <w:t>ОК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lang w:eastAsia="ru-RU"/>
        </w:rPr>
        <w:t>ОК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7. Содействовать сохранению окружающей среды, ресурсосбережению, эффективно действовать в чрезвычайных ситуациях.</w:t>
      </w: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ОК.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ОК.9. Использовать информационные технологии в профессиональной деятельности.</w:t>
      </w: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ОК.10. Пользоваться профессиональной документацией на государственном и иностранном языке.</w:t>
      </w: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ОК.11. Планировать предпринимательскую деятельность в профессиональной сфере.</w:t>
      </w: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Основные виды деятельности:</w:t>
      </w: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3.4.1. Определять техническое состояние систем, агрегатов, деталей и механизмов автомобиля.</w:t>
      </w: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3.4.2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существлять ТО автотранспорта согласно требованиям нормативно-технической документации.</w:t>
      </w:r>
    </w:p>
    <w:p w:rsidR="00974016" w:rsidRPr="00807C8A" w:rsidRDefault="00974016" w:rsidP="00974016">
      <w:pPr>
        <w:spacing w:after="0" w:line="240" w:lineRule="auto"/>
        <w:rPr>
          <w:rFonts w:ascii="Times New Roman" w:hAnsi="Times New Roman" w:cs="Times New Roman"/>
          <w:b/>
          <w:color w:val="000000"/>
          <w:lang w:eastAsia="ru-RU"/>
        </w:rPr>
      </w:pPr>
    </w:p>
    <w:p w:rsidR="00807C8A" w:rsidRPr="00807C8A" w:rsidRDefault="00807C8A" w:rsidP="0097401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7C8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2.1 Личностные результаты в ходе реализации учебной дисциплины</w:t>
      </w:r>
    </w:p>
    <w:p w:rsidR="00807C8A" w:rsidRDefault="00807C8A" w:rsidP="009740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Личностные результаты реализации программы воспитания, определенные отраслевыми требованиями к деловым качествам личности:</w:t>
      </w:r>
    </w:p>
    <w:p w:rsidR="00807C8A" w:rsidRPr="00807C8A" w:rsidRDefault="00807C8A" w:rsidP="009740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ЛР.19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Уважительное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отношения обучающихся к результатам собственного и чужого труда</w:t>
      </w: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eastAsia="ru-RU"/>
        </w:rPr>
        <w:sectPr w:rsidR="00974016" w:rsidSect="004672AB">
          <w:pgSz w:w="11906" w:h="16838"/>
          <w:pgMar w:top="567" w:right="850" w:bottom="851" w:left="1418" w:header="708" w:footer="708" w:gutter="0"/>
          <w:cols w:space="720"/>
        </w:sectPr>
      </w:pPr>
    </w:p>
    <w:p w:rsidR="00974016" w:rsidRDefault="00974016" w:rsidP="00974016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СТРУКТУРА И ПРИМЕРНОЕ СОДЕРЖАНИЕ УЧЕБНОЙ ДИСЦИПЛИНЫ</w:t>
      </w:r>
    </w:p>
    <w:p w:rsidR="00974016" w:rsidRDefault="00974016" w:rsidP="00974016">
      <w:pPr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1230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18"/>
        <w:gridCol w:w="2282"/>
      </w:tblGrid>
      <w:tr w:rsidR="00974016" w:rsidTr="00974016">
        <w:trPr>
          <w:trHeight w:val="460"/>
        </w:trPr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6" w:rsidRDefault="00974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1" w:name="BM0"/>
            <w:bookmarkStart w:id="2" w:name="f06db7be9981b5aef02bf87e200ed0857efb9c42"/>
            <w:bookmarkEnd w:id="1"/>
            <w:bookmarkEnd w:id="2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6" w:rsidRDefault="00974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74016" w:rsidTr="00974016">
        <w:trPr>
          <w:trHeight w:val="280"/>
        </w:trPr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6" w:rsidRDefault="00974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6" w:rsidRDefault="00974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74016" w:rsidTr="00974016"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6" w:rsidRDefault="0097401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6" w:rsidRDefault="009740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74016" w:rsidTr="00974016"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6" w:rsidRDefault="0097401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16" w:rsidRDefault="0097401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"/>
                <w:szCs w:val="2"/>
                <w:lang w:eastAsia="ru-RU"/>
              </w:rPr>
            </w:pPr>
          </w:p>
        </w:tc>
      </w:tr>
      <w:tr w:rsidR="00974016" w:rsidTr="00974016"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6" w:rsidRDefault="0097401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теоретических занятий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6" w:rsidRDefault="009740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74016" w:rsidTr="00974016"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6" w:rsidRDefault="0097401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Промежуточная  аттестация в форме дифференцированного зачета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6" w:rsidRDefault="009740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4016" w:rsidTr="00974016"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16" w:rsidRDefault="00974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рефераты)</w:t>
            </w:r>
          </w:p>
          <w:p w:rsidR="00974016" w:rsidRDefault="00974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№1.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понятия и термины предмета охрана труда.</w:t>
            </w:r>
          </w:p>
          <w:p w:rsidR="00974016" w:rsidRDefault="00974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№2.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права работников на труд в условиях, соответствующих требованиям охраны труда.</w:t>
            </w:r>
          </w:p>
          <w:p w:rsidR="00974016" w:rsidRDefault="00974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№3.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 и компенсации, предоставляемые работникам при выполнении работ с вредными и опасными условиями труда.</w:t>
            </w:r>
          </w:p>
          <w:p w:rsidR="00974016" w:rsidRDefault="00974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№4.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ответственности за нарушение требований охраны труда.</w:t>
            </w:r>
          </w:p>
          <w:p w:rsidR="00974016" w:rsidRDefault="009740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974016" w:rsidRDefault="0097401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6" w:rsidRDefault="0097401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2.2. Тематический план и содержание учебной дисциплины «Охрана труда».</w:t>
      </w:r>
    </w:p>
    <w:tbl>
      <w:tblPr>
        <w:tblW w:w="155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6"/>
        <w:gridCol w:w="7651"/>
        <w:gridCol w:w="839"/>
        <w:gridCol w:w="862"/>
        <w:gridCol w:w="851"/>
        <w:gridCol w:w="851"/>
      </w:tblGrid>
      <w:tr w:rsidR="00974016" w:rsidTr="00974016">
        <w:trPr>
          <w:gridAfter w:val="1"/>
          <w:wAfter w:w="851" w:type="dxa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16" w:rsidRDefault="009740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BM1"/>
            <w:bookmarkStart w:id="4" w:name="a815a044f33e9a742710fc064b9d7f14af6d3d13"/>
            <w:bookmarkEnd w:id="3"/>
            <w:bookmarkEnd w:id="4"/>
          </w:p>
          <w:p w:rsidR="00974016" w:rsidRDefault="009740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6" w:rsidRDefault="0097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974016" w:rsidRDefault="009740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6" w:rsidRDefault="009740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6" w:rsidRDefault="009740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усвоения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16" w:rsidRDefault="009740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Личностный рост</w:t>
            </w:r>
          </w:p>
          <w:p w:rsidR="00974016" w:rsidRDefault="0097401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016" w:rsidTr="00974016">
        <w:trPr>
          <w:gridAfter w:val="1"/>
          <w:wAfter w:w="851" w:type="dxa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16" w:rsidRDefault="009740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6" w:rsidRDefault="00974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6" w:rsidRDefault="00974016">
            <w:pPr>
              <w:spacing w:after="0" w:line="240" w:lineRule="atLeast"/>
              <w:ind w:left="-686" w:firstLine="686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16" w:rsidRDefault="009740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16" w:rsidRDefault="009740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016" w:rsidTr="00974016">
        <w:trPr>
          <w:gridAfter w:val="1"/>
          <w:wAfter w:w="851" w:type="dxa"/>
          <w:trHeight w:val="2584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6" w:rsidRDefault="009740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 Основные понятия и терминология охраны труда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6" w:rsidRDefault="00974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Цели, задачи и предмет изучения охраны труда. Безопасность труда как область знаний.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понятия безопасности труда: труд, производственная деятельность, рабочая зона, рабочее место, производственная безопасность, производственная санитария, гигиена труда, травма, несчастный случай, профессиональное заболевание, негативные факторы, опасность, опасные производственные факторы, вредные производственные факторы, риск.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Идентификация опасностей. Классификация условий труда по тяжести и напряженности трудового процесса. Классификация условий труда по факторам производственной среды.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6" w:rsidRDefault="00974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016" w:rsidRDefault="00974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74016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ЛР.19</w:t>
            </w:r>
          </w:p>
        </w:tc>
      </w:tr>
      <w:tr w:rsidR="00BA5498" w:rsidTr="00974016">
        <w:trPr>
          <w:gridAfter w:val="1"/>
          <w:wAfter w:w="851" w:type="dxa"/>
          <w:trHeight w:val="81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</w:t>
            </w:r>
          </w:p>
          <w:p w:rsidR="00BA5498" w:rsidRDefault="00BA549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законодательства об охране труда.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8" w:rsidRDefault="00BA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законодательства об охране на автомобильном транспорте. Основные направления государственной политики в области охраны труда.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5498" w:rsidRDefault="00BA5498">
            <w:r w:rsidRPr="007A1ED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ЛР.19</w:t>
            </w:r>
          </w:p>
        </w:tc>
      </w:tr>
      <w:tr w:rsidR="00BA5498" w:rsidTr="00974016">
        <w:trPr>
          <w:gridAfter w:val="1"/>
          <w:wAfter w:w="851" w:type="dxa"/>
          <w:trHeight w:val="138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</w:t>
            </w:r>
          </w:p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 работников на труд в условиях, соответствующих требованиям охраны труда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8" w:rsidRDefault="00BA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 работников в области охраны труда. Гарантии прав работников в области охраны труда. Ограничения и льготы для работников в области охраны труда.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A5498" w:rsidRDefault="00BA5498">
            <w:r w:rsidRPr="007A1ED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ЛР.19</w:t>
            </w:r>
          </w:p>
        </w:tc>
      </w:tr>
      <w:tr w:rsidR="00BA5498" w:rsidTr="00974016">
        <w:trPr>
          <w:gridAfter w:val="1"/>
          <w:wAfter w:w="851" w:type="dxa"/>
          <w:trHeight w:val="1153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</w:t>
            </w:r>
          </w:p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управления охраной труда на предприятиях автомобильного транспорта.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8" w:rsidRDefault="00BA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государственного управления охраной труда. Организация управления охраной труда на предприятии. Обязанности работников службы охраны труда. 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A5498" w:rsidRDefault="00BA5498">
            <w:r w:rsidRPr="007A1ED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ЛР.19</w:t>
            </w:r>
          </w:p>
        </w:tc>
      </w:tr>
      <w:tr w:rsidR="00BA5498" w:rsidTr="00974016">
        <w:trPr>
          <w:gridAfter w:val="1"/>
          <w:wAfter w:w="851" w:type="dxa"/>
          <w:trHeight w:val="835"/>
        </w:trPr>
        <w:tc>
          <w:tcPr>
            <w:tcW w:w="45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5.</w:t>
            </w:r>
          </w:p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нарушение требований охраны труда.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за нарушение требований охраны труда возлагается на работодателя. Дисциплинарная и административная ответственность. Уголовная ответственность.   </w:t>
            </w:r>
          </w:p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A5498" w:rsidRDefault="00BA5498">
            <w:r w:rsidRPr="00BF25D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ЛР.19</w:t>
            </w:r>
          </w:p>
        </w:tc>
      </w:tr>
      <w:tr w:rsidR="00BA5498" w:rsidTr="00974016">
        <w:trPr>
          <w:gridAfter w:val="1"/>
          <w:wAfter w:w="851" w:type="dxa"/>
          <w:trHeight w:val="1017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6.</w:t>
            </w:r>
          </w:p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надзора за соблюдением законодательств об охране труда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8" w:rsidRDefault="00BA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надзор и контроль. Государственная экспертиза условий труда. Общественный и ведомственный контроль охраны труда. 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A5498" w:rsidRDefault="00BA5498">
            <w:r w:rsidRPr="00BF25D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ЛР.19</w:t>
            </w:r>
          </w:p>
        </w:tc>
      </w:tr>
      <w:tr w:rsidR="00BA5498" w:rsidTr="00974016">
        <w:trPr>
          <w:gridAfter w:val="1"/>
          <w:wAfter w:w="851" w:type="dxa"/>
          <w:trHeight w:val="103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7</w:t>
            </w:r>
          </w:p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Производственный травматизм и профессиональные заболевания.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8" w:rsidRDefault="00BA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положения. Методы изучения причин производственного травматизма и профессиональных заболеваний. Методика оценки уровня охраны труда на предприятии.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A5498" w:rsidRDefault="00BA5498">
            <w:r w:rsidRPr="00BF25D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ЛР.19</w:t>
            </w:r>
          </w:p>
        </w:tc>
      </w:tr>
      <w:tr w:rsidR="00BA5498" w:rsidTr="00974016">
        <w:trPr>
          <w:gridAfter w:val="1"/>
          <w:wAfter w:w="851" w:type="dxa"/>
          <w:trHeight w:val="828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8</w:t>
            </w:r>
          </w:p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Расследование и учет несчастных случаев на производстве.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98" w:rsidRDefault="00BA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5498" w:rsidRDefault="00BA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Расследование несчастных случаев. Порядок оформления и учета несчастных случаев.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BA5498" w:rsidRDefault="00BA5498">
            <w:r w:rsidRPr="00BF25D0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ЛР.19</w:t>
            </w:r>
          </w:p>
        </w:tc>
      </w:tr>
      <w:tr w:rsidR="00BA5498" w:rsidTr="00974016">
        <w:trPr>
          <w:trHeight w:val="260"/>
        </w:trPr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  9</w:t>
            </w:r>
          </w:p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отбор и 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правилам охраны труда.</w:t>
            </w:r>
          </w:p>
        </w:tc>
        <w:tc>
          <w:tcPr>
            <w:tcW w:w="7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98" w:rsidRDefault="00BA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отбор и 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правилам охраны труда.</w:t>
            </w:r>
          </w:p>
          <w:p w:rsidR="00BA5498" w:rsidRDefault="00BA5498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A5498" w:rsidRDefault="00BA5498">
            <w:r w:rsidRPr="00520069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ЛР.19</w:t>
            </w:r>
          </w:p>
        </w:tc>
        <w:tc>
          <w:tcPr>
            <w:tcW w:w="851" w:type="dxa"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A5498" w:rsidTr="002D1043">
        <w:trPr>
          <w:trHeight w:val="554"/>
        </w:trPr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A5498" w:rsidTr="00974016">
        <w:trPr>
          <w:trHeight w:val="862"/>
        </w:trPr>
        <w:tc>
          <w:tcPr>
            <w:tcW w:w="4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10</w:t>
            </w:r>
          </w:p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социальное страхование.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498" w:rsidRDefault="00BA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понятия и основные принципы социального страхования.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BA5498" w:rsidRDefault="00BA5498">
            <w:r w:rsidRPr="00520069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ЛР.19</w:t>
            </w:r>
          </w:p>
        </w:tc>
        <w:tc>
          <w:tcPr>
            <w:tcW w:w="851" w:type="dxa"/>
          </w:tcPr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A5498" w:rsidTr="00974016">
        <w:trPr>
          <w:trHeight w:val="1761"/>
        </w:trPr>
        <w:tc>
          <w:tcPr>
            <w:tcW w:w="4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11</w:t>
            </w:r>
          </w:p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и технические противопожарные мероприятия.   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498" w:rsidRDefault="00BA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5498" w:rsidRDefault="00BA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5498" w:rsidRDefault="00BA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Огнестойкость зданий.</w:t>
            </w:r>
          </w:p>
          <w:p w:rsidR="00BA5498" w:rsidRDefault="00BA5498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498" w:rsidRDefault="00BA5498">
            <w:r w:rsidRPr="00520069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ЛР.19</w:t>
            </w:r>
          </w:p>
        </w:tc>
        <w:tc>
          <w:tcPr>
            <w:tcW w:w="851" w:type="dxa"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A5498" w:rsidTr="00974016">
        <w:trPr>
          <w:trHeight w:val="1075"/>
        </w:trPr>
        <w:tc>
          <w:tcPr>
            <w:tcW w:w="4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 12</w:t>
            </w:r>
          </w:p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Классификация производственных помещений и зон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взрыв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пожаробезопасности.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498" w:rsidRDefault="00BA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5498" w:rsidRDefault="00BA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Взрывоопасные зоны класса В-1, Зоны класса В-1а, Зоны класса В-1б</w:t>
            </w:r>
          </w:p>
          <w:p w:rsidR="00BA5498" w:rsidRDefault="00BA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5498" w:rsidRDefault="00BA5498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498" w:rsidRDefault="00BA5498">
            <w:r w:rsidRPr="00520069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ЛР.19</w:t>
            </w:r>
          </w:p>
        </w:tc>
        <w:tc>
          <w:tcPr>
            <w:tcW w:w="851" w:type="dxa"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A5498" w:rsidTr="00974016">
        <w:trPr>
          <w:trHeight w:val="609"/>
        </w:trPr>
        <w:tc>
          <w:tcPr>
            <w:tcW w:w="4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13</w:t>
            </w:r>
          </w:p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обнаружения и тушения пожаров.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498" w:rsidRDefault="00BA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5498" w:rsidRDefault="00BA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Автоматические пожарные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Простейший пожарный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теплового типа.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498" w:rsidRDefault="00BA5498">
            <w:r w:rsidRPr="00FA2AB3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ЛР.19</w:t>
            </w:r>
          </w:p>
        </w:tc>
        <w:tc>
          <w:tcPr>
            <w:tcW w:w="851" w:type="dxa"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A5498" w:rsidTr="00974016">
        <w:trPr>
          <w:trHeight w:val="1385"/>
        </w:trPr>
        <w:tc>
          <w:tcPr>
            <w:tcW w:w="4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14</w:t>
            </w:r>
          </w:p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складам, помещениям и ремонтных мастерских.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498" w:rsidRDefault="00BA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5498" w:rsidRDefault="00BA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5498" w:rsidRDefault="00BA5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Склады нефтепродуктов, Склады угля. Склады и цехи ремонтных предприятий.</w:t>
            </w:r>
          </w:p>
          <w:p w:rsidR="00BA5498" w:rsidRDefault="00BA5498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5498" w:rsidRDefault="00BA5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5498" w:rsidRDefault="00BA5498">
            <w:r w:rsidRPr="00FA2AB3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ЛР.19</w:t>
            </w:r>
          </w:p>
        </w:tc>
        <w:tc>
          <w:tcPr>
            <w:tcW w:w="851" w:type="dxa"/>
          </w:tcPr>
          <w:p w:rsidR="00BA5498" w:rsidRDefault="00BA5498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4016" w:rsidTr="00974016">
        <w:trPr>
          <w:gridAfter w:val="1"/>
          <w:wAfter w:w="851" w:type="dxa"/>
          <w:trHeight w:val="60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16" w:rsidRDefault="00974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Дифференцированный зачет по курсу  «Охрана труда»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16" w:rsidRDefault="00974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16" w:rsidRDefault="00974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16" w:rsidRDefault="0097401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016" w:rsidRDefault="0097401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74016" w:rsidTr="00974016">
        <w:trPr>
          <w:gridAfter w:val="1"/>
          <w:wAfter w:w="851" w:type="dxa"/>
          <w:trHeight w:val="60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16" w:rsidRDefault="0097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16" w:rsidRDefault="00974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016" w:rsidRDefault="0097401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ч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16" w:rsidRDefault="00974016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974016" w:rsidRDefault="00974016" w:rsidP="009740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74016">
          <w:pgSz w:w="16838" w:h="11906" w:orient="landscape"/>
          <w:pgMar w:top="426" w:right="1134" w:bottom="2694" w:left="1134" w:header="709" w:footer="709" w:gutter="0"/>
          <w:cols w:space="720"/>
        </w:sectPr>
      </w:pPr>
    </w:p>
    <w:p w:rsidR="00D156BB" w:rsidRDefault="00D156BB" w:rsidP="00D156BB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D156BB" w:rsidRDefault="00D156BB" w:rsidP="00D156BB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3.1. Требования к минимальному материально-техническому обеспечению:</w:t>
      </w:r>
    </w:p>
    <w:p w:rsidR="00D156BB" w:rsidRDefault="00D156BB" w:rsidP="00D156BB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программы дисциплины ОП 02 «Охрана труда» требует наличия учебного кабинета.</w:t>
      </w:r>
    </w:p>
    <w:p w:rsidR="00D156BB" w:rsidRDefault="00D156BB" w:rsidP="00D156B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учебного кабинета:</w:t>
      </w:r>
    </w:p>
    <w:p w:rsidR="00D156BB" w:rsidRDefault="00D156BB" w:rsidP="00D156BB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посадочные места по количеству обучающихся – 25 посадочных мест;</w:t>
      </w:r>
    </w:p>
    <w:p w:rsidR="00D156BB" w:rsidRDefault="00D156BB" w:rsidP="00D156BB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рабочее место преподавателя – 1 место;</w:t>
      </w:r>
    </w:p>
    <w:p w:rsidR="00D156BB" w:rsidRDefault="00D156BB" w:rsidP="00D156BB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комплекты стендов: «Медико-санитарная подготовка», «Гражданская оборона»;</w:t>
      </w:r>
    </w:p>
    <w:p w:rsidR="00D156BB" w:rsidRDefault="00D156BB" w:rsidP="00D156BB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комплекты плакатов: «Безопасность жизнедеятельности», «Охрана труда», «Медико-санитарная подготовка»;</w:t>
      </w:r>
    </w:p>
    <w:p w:rsidR="00D156BB" w:rsidRDefault="00D156BB" w:rsidP="00D156BB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комплект табельных и подручных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оказания первой доврачебной медицинской помощи;</w:t>
      </w:r>
    </w:p>
    <w:p w:rsidR="00D156BB" w:rsidRDefault="00D156BB" w:rsidP="00D156BB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комплект средств индивидуальной защиты (противогазы, респираторы,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противодымные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маски);</w:t>
      </w:r>
    </w:p>
    <w:p w:rsidR="00D156BB" w:rsidRDefault="00D156BB" w:rsidP="00D156BB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комплект первичных средств пожаротушения;</w:t>
      </w:r>
    </w:p>
    <w:p w:rsidR="00D156BB" w:rsidRDefault="00D156BB" w:rsidP="00D156BB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комплект бланков документации;</w:t>
      </w:r>
    </w:p>
    <w:p w:rsidR="00D156BB" w:rsidRDefault="00D156BB" w:rsidP="00D156BB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комплект дидактического материала (карточки-задания, тесты, раздаточный материал для</w:t>
      </w:r>
      <w:proofErr w:type="gramEnd"/>
    </w:p>
    <w:p w:rsidR="00D156BB" w:rsidRDefault="00D156BB" w:rsidP="00D156BB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выполнения практических и контрольных работ);</w:t>
      </w:r>
    </w:p>
    <w:p w:rsidR="00D156BB" w:rsidRDefault="00D156BB" w:rsidP="00D156BB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комплект мультимедийных презентаций,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6BB" w:rsidRDefault="00D156BB" w:rsidP="00D156B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:rsidR="00D156BB" w:rsidRDefault="00D156BB" w:rsidP="00D156BB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мультимедийный проектор;</w:t>
      </w:r>
    </w:p>
    <w:p w:rsidR="00D156BB" w:rsidRDefault="00D156BB" w:rsidP="00D156BB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экран.</w:t>
      </w:r>
    </w:p>
    <w:p w:rsidR="00D156BB" w:rsidRDefault="00D156BB" w:rsidP="00D156B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рабочих мест:</w:t>
      </w:r>
    </w:p>
    <w:p w:rsidR="00D156BB" w:rsidRDefault="00D156BB" w:rsidP="00D156BB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рабочее место учащихся;</w:t>
      </w:r>
    </w:p>
    <w:p w:rsidR="00D156BB" w:rsidRDefault="00D156BB" w:rsidP="00D156BB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письменные принадлежности.</w:t>
      </w:r>
    </w:p>
    <w:p w:rsidR="00D156BB" w:rsidRDefault="00D156BB" w:rsidP="00D156BB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3.2. Информационное обеспечение обучения</w:t>
      </w:r>
    </w:p>
    <w:p w:rsidR="00D156BB" w:rsidRDefault="00D156BB" w:rsidP="00D156B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рекомендуемых учебных изданий,</w:t>
      </w:r>
    </w:p>
    <w:p w:rsidR="00D156BB" w:rsidRDefault="00D156BB" w:rsidP="00D156B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Интернет-ресурсов, дополнительной литературы</w:t>
      </w:r>
    </w:p>
    <w:p w:rsidR="00D156BB" w:rsidRDefault="00D156BB" w:rsidP="00D156BB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источники:</w:t>
      </w:r>
    </w:p>
    <w:p w:rsidR="00D156BB" w:rsidRDefault="00D156BB" w:rsidP="00D156BB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Девисилов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В.А. Охрана труда: Учебник. – М.: ИНФРА-М, 2009</w:t>
      </w:r>
    </w:p>
    <w:p w:rsidR="00D156BB" w:rsidRDefault="00D156BB" w:rsidP="00D156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Кланица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В.С. Охрана труда на автомобильном транспорте. – М.: Академия, 2010     </w:t>
      </w:r>
    </w:p>
    <w:p w:rsidR="007D173D" w:rsidRDefault="00D156BB" w:rsidP="00D156BB"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sectPr w:rsidR="007D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44"/>
    <w:rsid w:val="004672AB"/>
    <w:rsid w:val="005B1271"/>
    <w:rsid w:val="007D173D"/>
    <w:rsid w:val="00807C8A"/>
    <w:rsid w:val="00974016"/>
    <w:rsid w:val="009D6244"/>
    <w:rsid w:val="00A76CF4"/>
    <w:rsid w:val="00B555B5"/>
    <w:rsid w:val="00BA5498"/>
    <w:rsid w:val="00D1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1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016"/>
    <w:pPr>
      <w:ind w:left="720"/>
    </w:pPr>
  </w:style>
  <w:style w:type="paragraph" w:customStyle="1" w:styleId="1">
    <w:name w:val="Абзац списка1"/>
    <w:basedOn w:val="a"/>
    <w:rsid w:val="0097401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2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1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016"/>
    <w:pPr>
      <w:ind w:left="720"/>
    </w:pPr>
  </w:style>
  <w:style w:type="paragraph" w:customStyle="1" w:styleId="1">
    <w:name w:val="Абзац списка1"/>
    <w:basedOn w:val="a"/>
    <w:rsid w:val="0097401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2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A9F7-4B24-4D0E-B121-88904B36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ElenaAleksandrovna</cp:lastModifiedBy>
  <cp:revision>9</cp:revision>
  <cp:lastPrinted>2021-10-08T03:00:00Z</cp:lastPrinted>
  <dcterms:created xsi:type="dcterms:W3CDTF">2021-09-17T07:22:00Z</dcterms:created>
  <dcterms:modified xsi:type="dcterms:W3CDTF">2021-10-13T07:57:00Z</dcterms:modified>
</cp:coreProperties>
</file>