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22" w:rsidRDefault="004E4822" w:rsidP="004E4822">
      <w:pPr>
        <w:tabs>
          <w:tab w:val="left" w:pos="2940"/>
        </w:tabs>
        <w:jc w:val="center"/>
        <w:rPr>
          <w:b/>
        </w:rPr>
      </w:pPr>
      <w:r>
        <w:rPr>
          <w:b/>
        </w:rPr>
        <w:t>Министерство образования и науки Республики Хакасия</w:t>
      </w:r>
    </w:p>
    <w:p w:rsidR="004E4822" w:rsidRDefault="004E4822" w:rsidP="004E4822">
      <w:pPr>
        <w:tabs>
          <w:tab w:val="left" w:pos="2940"/>
        </w:tabs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Республики Хакасия «Профессиональное училище №18»</w:t>
      </w:r>
    </w:p>
    <w:p w:rsidR="004E4822" w:rsidRDefault="004E4822" w:rsidP="004E4822">
      <w:pPr>
        <w:tabs>
          <w:tab w:val="left" w:pos="2940"/>
        </w:tabs>
        <w:jc w:val="center"/>
      </w:pPr>
      <w:r>
        <w:t xml:space="preserve">  </w:t>
      </w:r>
    </w:p>
    <w:p w:rsidR="004E4822" w:rsidRDefault="004E4822" w:rsidP="004E4822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Рассмотрено:                                                                    </w:t>
      </w:r>
      <w:r w:rsidR="00073FB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СОГЛАСОВАНО                                                         УТВЕРЖДАЮ:</w:t>
      </w:r>
    </w:p>
    <w:p w:rsidR="004E4822" w:rsidRDefault="004E4822" w:rsidP="004E4822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На заседании ПЦК строительного     </w:t>
      </w:r>
      <w:r w:rsidR="00073FB1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Зам. директора по </w:t>
      </w:r>
      <w:proofErr w:type="gramStart"/>
      <w:r>
        <w:rPr>
          <w:sz w:val="16"/>
          <w:szCs w:val="16"/>
        </w:rPr>
        <w:t>УПР</w:t>
      </w:r>
      <w:proofErr w:type="gramEnd"/>
      <w:r>
        <w:rPr>
          <w:sz w:val="16"/>
          <w:szCs w:val="16"/>
        </w:rPr>
        <w:t xml:space="preserve">              </w:t>
      </w:r>
      <w:r w:rsidR="00073FB1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Директор ГБПОУ РХ ПУ-18</w:t>
      </w:r>
    </w:p>
    <w:p w:rsidR="004E4822" w:rsidRDefault="004E4822" w:rsidP="004E4822">
      <w:pPr>
        <w:tabs>
          <w:tab w:val="left" w:pos="2940"/>
          <w:tab w:val="left" w:pos="3374"/>
          <w:tab w:val="center" w:pos="467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И электром</w:t>
      </w:r>
      <w:r w:rsidR="00073FB1">
        <w:rPr>
          <w:sz w:val="16"/>
          <w:szCs w:val="16"/>
        </w:rPr>
        <w:t>онтажного профиля</w:t>
      </w:r>
      <w:r w:rsidR="00073FB1">
        <w:rPr>
          <w:sz w:val="16"/>
          <w:szCs w:val="16"/>
        </w:rPr>
        <w:tab/>
      </w:r>
      <w:r w:rsidR="00073FB1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__________</w:t>
      </w:r>
      <w:proofErr w:type="spellStart"/>
      <w:r>
        <w:rPr>
          <w:sz w:val="16"/>
          <w:szCs w:val="16"/>
        </w:rPr>
        <w:t>Канзычаков</w:t>
      </w:r>
      <w:proofErr w:type="spellEnd"/>
      <w:r>
        <w:rPr>
          <w:sz w:val="16"/>
          <w:szCs w:val="16"/>
        </w:rPr>
        <w:t xml:space="preserve"> Т.Д.                                   _____________</w:t>
      </w:r>
      <w:proofErr w:type="spellStart"/>
      <w:r>
        <w:rPr>
          <w:sz w:val="16"/>
          <w:szCs w:val="16"/>
        </w:rPr>
        <w:t>Чебодаев</w:t>
      </w:r>
      <w:proofErr w:type="spellEnd"/>
      <w:r>
        <w:rPr>
          <w:sz w:val="16"/>
          <w:szCs w:val="16"/>
        </w:rPr>
        <w:t xml:space="preserve"> И.О.</w:t>
      </w:r>
      <w:r>
        <w:rPr>
          <w:sz w:val="16"/>
          <w:szCs w:val="16"/>
        </w:rPr>
        <w:tab/>
        <w:t xml:space="preserve">                                                                  </w:t>
      </w:r>
    </w:p>
    <w:p w:rsidR="004E4822" w:rsidRDefault="004E4822" w:rsidP="004E4822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Протокол №1  от «____»________2022г.                    «_____»_____________2022г.                                </w:t>
      </w:r>
      <w:r w:rsidR="00073FB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«___»_____________2022г.     </w:t>
      </w:r>
    </w:p>
    <w:p w:rsidR="004E4822" w:rsidRDefault="004E4822" w:rsidP="004E4822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Председатель ПЦК                           </w:t>
      </w:r>
    </w:p>
    <w:p w:rsidR="004E4822" w:rsidRDefault="004E4822" w:rsidP="004E4822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___________</w:t>
      </w:r>
      <w:proofErr w:type="spellStart"/>
      <w:r w:rsidRPr="00F91410">
        <w:rPr>
          <w:sz w:val="16"/>
          <w:szCs w:val="16"/>
        </w:rPr>
        <w:t>Кушини</w:t>
      </w:r>
      <w:r w:rsidR="00073FB1">
        <w:rPr>
          <w:sz w:val="16"/>
          <w:szCs w:val="16"/>
        </w:rPr>
        <w:t>н</w:t>
      </w:r>
      <w:bookmarkStart w:id="0" w:name="_GoBack"/>
      <w:bookmarkEnd w:id="0"/>
      <w:r w:rsidRPr="00F91410">
        <w:rPr>
          <w:sz w:val="16"/>
          <w:szCs w:val="16"/>
        </w:rPr>
        <w:t>а</w:t>
      </w:r>
      <w:proofErr w:type="spellEnd"/>
      <w:r w:rsidRPr="00F91410">
        <w:rPr>
          <w:sz w:val="16"/>
          <w:szCs w:val="16"/>
        </w:rPr>
        <w:t xml:space="preserve"> Э.Г.</w:t>
      </w:r>
      <w:r>
        <w:rPr>
          <w:sz w:val="16"/>
          <w:szCs w:val="16"/>
        </w:rPr>
        <w:t xml:space="preserve">             ,                   </w:t>
      </w:r>
    </w:p>
    <w:p w:rsidR="004E4822" w:rsidRDefault="004E4822" w:rsidP="004E4822">
      <w:pPr>
        <w:tabs>
          <w:tab w:val="left" w:pos="29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4E4822" w:rsidRDefault="004E4822" w:rsidP="004E4822">
      <w:pPr>
        <w:tabs>
          <w:tab w:val="left" w:pos="2940"/>
        </w:tabs>
        <w:rPr>
          <w:sz w:val="24"/>
          <w:szCs w:val="24"/>
        </w:rPr>
      </w:pPr>
    </w:p>
    <w:p w:rsidR="004E4822" w:rsidRDefault="004E4822" w:rsidP="004E4822">
      <w:pPr>
        <w:tabs>
          <w:tab w:val="left" w:pos="2940"/>
        </w:tabs>
      </w:pPr>
      <w:r>
        <w:t xml:space="preserve">  </w:t>
      </w:r>
    </w:p>
    <w:p w:rsidR="004E4822" w:rsidRDefault="004E4822" w:rsidP="004E4822">
      <w:pPr>
        <w:tabs>
          <w:tab w:val="left" w:pos="2940"/>
        </w:tabs>
        <w:jc w:val="center"/>
      </w:pPr>
    </w:p>
    <w:p w:rsidR="004E4822" w:rsidRDefault="004E4822" w:rsidP="004E4822">
      <w:pPr>
        <w:tabs>
          <w:tab w:val="left" w:pos="2940"/>
        </w:tabs>
        <w:jc w:val="center"/>
      </w:pPr>
    </w:p>
    <w:p w:rsidR="004E4822" w:rsidRDefault="004E4822" w:rsidP="004E4822">
      <w:pPr>
        <w:pStyle w:val="1"/>
        <w:shd w:val="clear" w:color="auto" w:fill="FFFFFF"/>
        <w:ind w:left="927" w:right="-266"/>
        <w:jc w:val="center"/>
        <w:rPr>
          <w:b/>
          <w:bCs/>
          <w:spacing w:val="5"/>
        </w:rPr>
      </w:pPr>
      <w:r>
        <w:rPr>
          <w:b/>
          <w:bCs/>
          <w:spacing w:val="5"/>
        </w:rPr>
        <w:t>РАБОЧАЯ ПРОГРАММА ОБЩЕПРОФЕССИОНАЛЬНОГО ЦИКЛА</w:t>
      </w:r>
    </w:p>
    <w:p w:rsidR="004E4822" w:rsidRDefault="004E4822" w:rsidP="004E4822">
      <w:pPr>
        <w:pStyle w:val="1"/>
        <w:shd w:val="clear" w:color="auto" w:fill="FFFFFF"/>
        <w:ind w:left="927" w:right="-266"/>
        <w:jc w:val="center"/>
      </w:pPr>
    </w:p>
    <w:p w:rsidR="004E4822" w:rsidRDefault="004E4822" w:rsidP="004E4822">
      <w:pPr>
        <w:pStyle w:val="1"/>
        <w:shd w:val="clear" w:color="auto" w:fill="FFFFFF"/>
        <w:ind w:left="927" w:right="-266"/>
        <w:jc w:val="center"/>
        <w:rPr>
          <w:b/>
          <w:bCs/>
          <w:spacing w:val="5"/>
          <w:u w:val="single"/>
        </w:rPr>
      </w:pPr>
      <w:r>
        <w:rPr>
          <w:b/>
          <w:bCs/>
          <w:spacing w:val="5"/>
          <w:u w:val="single"/>
        </w:rPr>
        <w:t>ОП.02 Охрана труда</w:t>
      </w:r>
    </w:p>
    <w:p w:rsidR="004E4822" w:rsidRDefault="004E4822" w:rsidP="004E4822">
      <w:pPr>
        <w:pStyle w:val="1"/>
        <w:shd w:val="clear" w:color="auto" w:fill="FFFFFF"/>
        <w:ind w:left="927" w:right="-266"/>
        <w:jc w:val="center"/>
        <w:rPr>
          <w:b/>
          <w:bCs/>
          <w:spacing w:val="5"/>
        </w:rPr>
      </w:pPr>
    </w:p>
    <w:p w:rsidR="004E4822" w:rsidRDefault="004E4822" w:rsidP="004E4822">
      <w:pPr>
        <w:pStyle w:val="1"/>
        <w:shd w:val="clear" w:color="auto" w:fill="FFFFFF"/>
        <w:ind w:left="927" w:right="-266"/>
        <w:rPr>
          <w:b/>
          <w:bCs/>
          <w:spacing w:val="5"/>
        </w:rPr>
      </w:pPr>
    </w:p>
    <w:p w:rsidR="004E4822" w:rsidRDefault="004E4822" w:rsidP="004E4822">
      <w:pPr>
        <w:tabs>
          <w:tab w:val="left" w:pos="2940"/>
        </w:tabs>
        <w:jc w:val="center"/>
      </w:pPr>
    </w:p>
    <w:p w:rsidR="004E4822" w:rsidRDefault="004E4822" w:rsidP="004E4822">
      <w:pPr>
        <w:tabs>
          <w:tab w:val="left" w:pos="3936"/>
        </w:tabs>
        <w:rPr>
          <w:b/>
        </w:rPr>
      </w:pPr>
      <w:r>
        <w:rPr>
          <w:b/>
        </w:rPr>
        <w:t>Профессия: 08.01.25 «Мастер отделочных строительных и декоративных работ»</w:t>
      </w:r>
    </w:p>
    <w:p w:rsidR="004E4822" w:rsidRDefault="004E4822" w:rsidP="004E4822">
      <w:pPr>
        <w:tabs>
          <w:tab w:val="left" w:pos="3936"/>
        </w:tabs>
        <w:rPr>
          <w:b/>
        </w:rPr>
      </w:pPr>
      <w:r>
        <w:rPr>
          <w:b/>
        </w:rPr>
        <w:t>Срок обучения: 2г.10 мес.</w:t>
      </w:r>
    </w:p>
    <w:p w:rsidR="004E4822" w:rsidRDefault="004E4822" w:rsidP="004E4822">
      <w:pPr>
        <w:tabs>
          <w:tab w:val="left" w:pos="3936"/>
        </w:tabs>
        <w:rPr>
          <w:b/>
        </w:rPr>
      </w:pPr>
      <w:r>
        <w:rPr>
          <w:b/>
        </w:rPr>
        <w:t>Кол-во часов:  1 курс- 30 ч.</w:t>
      </w:r>
    </w:p>
    <w:p w:rsidR="004E4822" w:rsidRDefault="004E4822" w:rsidP="004E4822">
      <w:pPr>
        <w:tabs>
          <w:tab w:val="left" w:pos="3936"/>
        </w:tabs>
        <w:rPr>
          <w:b/>
        </w:rPr>
      </w:pPr>
    </w:p>
    <w:p w:rsidR="004E4822" w:rsidRDefault="004E4822" w:rsidP="004E4822">
      <w:pPr>
        <w:tabs>
          <w:tab w:val="left" w:pos="3936"/>
        </w:tabs>
        <w:rPr>
          <w:b/>
        </w:rPr>
      </w:pPr>
    </w:p>
    <w:p w:rsidR="004E4822" w:rsidRDefault="004E4822" w:rsidP="004E4822">
      <w:pPr>
        <w:tabs>
          <w:tab w:val="left" w:pos="3936"/>
        </w:tabs>
        <w:rPr>
          <w:b/>
        </w:rPr>
      </w:pPr>
    </w:p>
    <w:p w:rsidR="004E4822" w:rsidRDefault="004E4822" w:rsidP="004E4822">
      <w:pPr>
        <w:tabs>
          <w:tab w:val="left" w:pos="3936"/>
        </w:tabs>
        <w:jc w:val="right"/>
        <w:rPr>
          <w:b/>
        </w:rPr>
      </w:pPr>
      <w:r>
        <w:rPr>
          <w:b/>
        </w:rPr>
        <w:t>Разработал:</w:t>
      </w:r>
    </w:p>
    <w:p w:rsidR="004E4822" w:rsidRDefault="004E4822" w:rsidP="004E4822">
      <w:pPr>
        <w:tabs>
          <w:tab w:val="left" w:pos="3936"/>
        </w:tabs>
        <w:jc w:val="right"/>
        <w:rPr>
          <w:b/>
        </w:rPr>
      </w:pPr>
      <w:r>
        <w:rPr>
          <w:b/>
        </w:rPr>
        <w:t xml:space="preserve">преподаватель </w:t>
      </w:r>
      <w:proofErr w:type="spellStart"/>
      <w:r>
        <w:rPr>
          <w:b/>
        </w:rPr>
        <w:t>Ченкова</w:t>
      </w:r>
      <w:proofErr w:type="spellEnd"/>
      <w:r>
        <w:rPr>
          <w:b/>
        </w:rPr>
        <w:t xml:space="preserve"> Э.Ф.</w:t>
      </w:r>
    </w:p>
    <w:p w:rsidR="004E4822" w:rsidRDefault="004E4822" w:rsidP="004E4822">
      <w:pPr>
        <w:tabs>
          <w:tab w:val="left" w:pos="2940"/>
        </w:tabs>
      </w:pPr>
    </w:p>
    <w:p w:rsidR="004E4822" w:rsidRDefault="004E4822" w:rsidP="004E4822">
      <w:pPr>
        <w:tabs>
          <w:tab w:val="left" w:pos="2940"/>
        </w:tabs>
      </w:pPr>
    </w:p>
    <w:p w:rsidR="004E4822" w:rsidRDefault="004E4822" w:rsidP="004E4822">
      <w:pPr>
        <w:tabs>
          <w:tab w:val="left" w:pos="2940"/>
        </w:tabs>
      </w:pPr>
    </w:p>
    <w:p w:rsidR="004E4822" w:rsidRDefault="004E4822" w:rsidP="004E4822">
      <w:pPr>
        <w:tabs>
          <w:tab w:val="left" w:pos="2940"/>
        </w:tabs>
      </w:pPr>
    </w:p>
    <w:p w:rsidR="004E4822" w:rsidRDefault="004E4822" w:rsidP="004E4822">
      <w:pPr>
        <w:tabs>
          <w:tab w:val="left" w:pos="2940"/>
        </w:tabs>
      </w:pPr>
    </w:p>
    <w:p w:rsidR="004E4822" w:rsidRDefault="00073FB1" w:rsidP="004E4822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Аскиз, </w:t>
      </w:r>
      <w:r w:rsidR="004E4822">
        <w:rPr>
          <w:b/>
        </w:rPr>
        <w:t>2022г.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Рабочая программа общепрофессиональной  дисциплины  ОП 10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храна труда» разработана на основе Федерального государственного образовательного стандарта по профессии среднего  профессионального образования </w:t>
      </w:r>
      <w:r w:rsidRPr="007C55AA">
        <w:rPr>
          <w:b/>
        </w:rPr>
        <w:t xml:space="preserve"> </w:t>
      </w:r>
      <w:r>
        <w:rPr>
          <w:b/>
        </w:rPr>
        <w:t>08.01.25 «Мастер отделочных строительных и декоративных работ»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– разработчик: ГБПОУРХ ПУ-18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Разработчик: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Э.Ф.– преподаватель 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4E4822" w:rsidRDefault="004E4822" w:rsidP="004E48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1.Паспорт программы учебной дисциплины         </w:t>
      </w:r>
    </w:p>
    <w:p w:rsidR="004E4822" w:rsidRDefault="004E4822" w:rsidP="004E48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Результаты освоения учебной дисциплины      </w:t>
      </w:r>
    </w:p>
    <w:p w:rsidR="004E4822" w:rsidRPr="000C0C8A" w:rsidRDefault="004E4822" w:rsidP="004E4822">
      <w:pPr>
        <w:spacing w:line="240" w:lineRule="auto"/>
        <w:rPr>
          <w:rFonts w:ascii="Times New Roman" w:hAnsi="Times New Roman" w:cs="Times New Roman"/>
          <w:bCs/>
          <w:caps/>
        </w:rPr>
      </w:pPr>
      <w:r w:rsidRPr="000C0C8A">
        <w:rPr>
          <w:rFonts w:ascii="Times New Roman" w:hAnsi="Times New Roman" w:cs="Times New Roman"/>
          <w:bCs/>
          <w:caps/>
        </w:rPr>
        <w:t>2.1ЛИЧНОСТНЫЕ РЕЗУЛЬТАТЫ В ХОДЕ РЕАЛИЗАЦИИ УЧЕБНОЙ ДИСЦИПЛИНЫ</w:t>
      </w:r>
      <w:r>
        <w:rPr>
          <w:rFonts w:ascii="Times New Roman" w:hAnsi="Times New Roman" w:cs="Times New Roman"/>
          <w:bCs/>
          <w:caps/>
        </w:rPr>
        <w:t xml:space="preserve">  </w:t>
      </w:r>
    </w:p>
    <w:p w:rsidR="004E4822" w:rsidRDefault="004E4822" w:rsidP="004E48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                        </w:t>
      </w:r>
    </w:p>
    <w:p w:rsidR="004E4822" w:rsidRDefault="004E4822" w:rsidP="004E48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3.Структура и примерное содержание учебной дисциплины                        </w:t>
      </w:r>
    </w:p>
    <w:p w:rsidR="004E4822" w:rsidRDefault="004E4822" w:rsidP="004E48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4.Условия реализации программы учебной дисциплины                             </w:t>
      </w:r>
    </w:p>
    <w:p w:rsidR="004E4822" w:rsidRDefault="004E4822" w:rsidP="004E48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5.Контроль и оценка результатов освоения учебной дисциплины              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822" w:rsidRDefault="004E4822" w:rsidP="004E4822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</w:p>
    <w:p w:rsidR="004E4822" w:rsidRDefault="004E4822" w:rsidP="004E4822">
      <w:pPr>
        <w:pStyle w:val="a3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1.ПАСПОРТ УЧЕБНОЙ  ПРОГРАММЫ 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ОП. 10  «ОХРАНА ТРУДА»</w:t>
      </w:r>
    </w:p>
    <w:p w:rsidR="004E4822" w:rsidRDefault="004E4822" w:rsidP="004E4822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1.1.Область применения рабочей программы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Рабочая программа учебной дисциплины ОП.02 «Охрана труда» является частью рабочей основной профессиональной образовательной программы в соответствии с ФГОС, утвержденного Приказом Министерства образования и науки Российской Федерации от 9 декабря 2016года. № 1581, по профессии среднего профессионального образования</w:t>
      </w:r>
    </w:p>
    <w:p w:rsidR="004E4822" w:rsidRDefault="004E4822" w:rsidP="004E4822">
      <w:pPr>
        <w:tabs>
          <w:tab w:val="left" w:pos="3936"/>
        </w:tabs>
        <w:rPr>
          <w:b/>
        </w:rPr>
      </w:pPr>
      <w:r>
        <w:rPr>
          <w:b/>
        </w:rPr>
        <w:t>08.01.25 «Мастер отделочных строительных и декоративных работ»</w:t>
      </w:r>
    </w:p>
    <w:p w:rsidR="004E4822" w:rsidRDefault="004E4822" w:rsidP="004E4822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4E4822" w:rsidRDefault="004E4822" w:rsidP="004E4822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дисциплина ОП 02 «Охрана труда» входит в общепрофессиональный цикл.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4822" w:rsidRDefault="004E4822" w:rsidP="004E4822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 применять методы и средства защиты от опасностей технических систем и технологических процессов;</w:t>
      </w:r>
    </w:p>
    <w:p w:rsidR="004E4822" w:rsidRDefault="004E4822" w:rsidP="004E4822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обеспечивать безопасные условия труда в профессиональной деятельности;</w:t>
      </w:r>
    </w:p>
    <w:p w:rsidR="004E4822" w:rsidRDefault="004E4822" w:rsidP="004E4822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вредные факторы в профессиональной деятельности;</w:t>
      </w:r>
    </w:p>
    <w:p w:rsidR="004E4822" w:rsidRDefault="004E4822" w:rsidP="004E4822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экобиозащитную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технику.</w:t>
      </w:r>
    </w:p>
    <w:p w:rsidR="004E4822" w:rsidRDefault="004E4822" w:rsidP="004E4822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E4822" w:rsidRDefault="004E4822" w:rsidP="004E4822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воздействие негативных факторов на человека;</w:t>
      </w:r>
    </w:p>
    <w:p w:rsidR="004E4822" w:rsidRDefault="004E4822" w:rsidP="004E4822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правовые, нормативные и организационные основы охраны труда в организации.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1.4. Количество часов на освоение рабочей программы учебной дисциплины: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30 часов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E4822" w:rsidRDefault="004E4822" w:rsidP="004E482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часов;</w:t>
      </w:r>
    </w:p>
    <w:p w:rsidR="004E4822" w:rsidRDefault="004E4822" w:rsidP="004E482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Результаты освоения учебной дисциплины                                          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1. Выбирать способы решения задач профессиональной деятельности, применительно к различным контекстам.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3. Планировать и реализовывать собственное профессиональное и личностное развитие.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4. Работать в коллективе и команде, эффективно взаимодействовать с коллегами, руководством, клиентами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ОК.9. Использовать информационные технологии в профессиональной деятельности.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ОК.10. Пользоваться профессиональной документацией на государственном и иностранном языке.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ОК.11. Планировать предпринимательскую деятельность в профессиональной сфере.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Основные виды деятельности: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3.4.1. Определять техническое состояние систем, агрегатов, деталей и механизмов автомобиля.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3.4.2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>существлять ТО автотранспорта согласно требованиям нормативно-технической документации.</w:t>
      </w:r>
    </w:p>
    <w:p w:rsidR="004E4822" w:rsidRPr="004415ED" w:rsidRDefault="004E4822" w:rsidP="004E4822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2.1ЛИЧНОСТНЫЕ РЕЗУЛЬТАТЫ В ХОДЕ РЕАЛИЗАЦИИ УЧЕБНОЙ ДИСЦИПЛИНЫ</w:t>
      </w:r>
    </w:p>
    <w:p w:rsidR="004E4822" w:rsidRDefault="004E4822" w:rsidP="004E4822">
      <w:pPr>
        <w:shd w:val="clear" w:color="auto" w:fill="FFFFFF"/>
        <w:spacing w:after="255" w:line="270" w:lineRule="atLeast"/>
      </w:pPr>
      <w:r>
        <w:t xml:space="preserve">Личностные результаты реализации программы воспитания, определенные отраслевыми требованиями к деловым качествам личности: 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t xml:space="preserve"> ЛР.19  </w:t>
      </w:r>
      <w:proofErr w:type="gramStart"/>
      <w:r>
        <w:t>Уважительное</w:t>
      </w:r>
      <w:proofErr w:type="gramEnd"/>
      <w:r>
        <w:t xml:space="preserve"> отношения обучающихся к результатам собственного и чужого труда. 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  <w:sectPr w:rsidR="004E4822" w:rsidSect="000C0C8A">
          <w:pgSz w:w="11906" w:h="16838"/>
          <w:pgMar w:top="426" w:right="850" w:bottom="851" w:left="1418" w:header="708" w:footer="708" w:gutter="0"/>
          <w:cols w:space="720"/>
        </w:sectPr>
      </w:pP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4E4822" w:rsidRDefault="004E4822" w:rsidP="004E4822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12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18"/>
        <w:gridCol w:w="2282"/>
      </w:tblGrid>
      <w:tr w:rsidR="004E4822" w:rsidTr="003209AC">
        <w:trPr>
          <w:trHeight w:val="46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" w:name="f06db7be9981b5aef02bf87e200ed0857efb9c42"/>
            <w:bookmarkStart w:id="2" w:name="BM0"/>
            <w:bookmarkEnd w:id="1"/>
            <w:bookmarkEnd w:id="2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4822" w:rsidTr="003209AC">
        <w:trPr>
          <w:trHeight w:val="28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E4822" w:rsidTr="003209AC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E4822" w:rsidTr="003209AC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"/>
                <w:szCs w:val="2"/>
                <w:lang w:eastAsia="ru-RU"/>
              </w:rPr>
            </w:pPr>
          </w:p>
        </w:tc>
      </w:tr>
      <w:tr w:rsidR="004E4822" w:rsidTr="003209AC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теоретических занятий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E4822" w:rsidTr="003209AC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Промежуточная  аттестация в форме дифференцированного зачета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4822" w:rsidTr="003209AC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рефераты)</w:t>
            </w: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понятия и термины предмета охрана труда.</w:t>
            </w: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права работников на труд в условиях, соответствующих требованиям охраны труда.</w:t>
            </w: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Льготы и компенсации, предоставляемые работникам при выполнении работ с вредными и опасными условиями труда.</w:t>
            </w: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ответственности за нарушение требований охраны труда.</w:t>
            </w: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E4822" w:rsidRDefault="004E4822" w:rsidP="003209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 Тематический план и содержание учебной дисциплины «Охрана труда».</w:t>
      </w:r>
    </w:p>
    <w:tbl>
      <w:tblPr>
        <w:tblW w:w="155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6"/>
        <w:gridCol w:w="7651"/>
        <w:gridCol w:w="839"/>
        <w:gridCol w:w="862"/>
        <w:gridCol w:w="851"/>
        <w:gridCol w:w="851"/>
      </w:tblGrid>
      <w:tr w:rsidR="004E4822" w:rsidTr="003209AC">
        <w:trPr>
          <w:gridAfter w:val="1"/>
          <w:wAfter w:w="851" w:type="dxa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a815a044f33e9a742710fc064b9d7f14af6d3d13"/>
            <w:bookmarkStart w:id="4" w:name="BM1"/>
            <w:bookmarkEnd w:id="3"/>
            <w:bookmarkEnd w:id="4"/>
          </w:p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822" w:rsidRDefault="004E4822" w:rsidP="00320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рост</w:t>
            </w:r>
          </w:p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gridAfter w:val="1"/>
          <w:wAfter w:w="851" w:type="dxa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ind w:left="-686" w:firstLine="686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822" w:rsidRDefault="004E4822" w:rsidP="0032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gridAfter w:val="1"/>
          <w:wAfter w:w="851" w:type="dxa"/>
          <w:trHeight w:val="258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 Основные понятия и терминология охраны труда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Цели, задачи и предмет изучения охраны труда. Безопасность труда как область знаний.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безопасности труда: труд, производственная деятельность, рабочая зона, рабочее место, производственная безопасность, производственная санитария, гигиена труда, травма, несчастный случай, профессиональное заболевание, негативные факторы, опасность, опасные производственные факторы, вредные производственные факторы, риск.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Идентификация опасностей. Классификация условий труда по тяжести и напряженности трудового процесса. Классификация условий труда по факторам производственной среды.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8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:rsidR="004E4822" w:rsidRDefault="004E4822" w:rsidP="00320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законодательства об охране труда.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законодательства об охране на автомобильном транспорте. Основные направления государственной политики в области охраны труда.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138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работников на труд в условиях, соответствующих требованиям охраны труда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работников в области охраны труда. Гарантии прав работников в области охраны труда. Ограничения и льготы для работников в области охраны труда.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1153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4.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управления охраной труда на предприятиях автомобильного транспорта.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государственного управления охраной труда. Организация управления охраной труда на предприятии. Обязанности работников службы охраны труда.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835"/>
        </w:trPr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требований охраны труда.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нарушение требований охраны труда возлагается на работодателя. Дисциплинарная и административная ответственность. Уголовная ответственность.   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101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6.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надзора за соблюдением законодательств об охране труда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и контроль. Государственная экспертиза условий труда. Общественный и ведомственный контроль охраны труда.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103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7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 и профессиональные заболевания.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положения. Методы изучения причин производственного травматизма и профессиональных заболеваний. Методика оценки уровня охраны труда на предприятии.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82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8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Расследование и учет несчастных случаев на производстве.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Расследование несчастных случаев. Порядок оформления и учета несчастных случаев.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trHeight w:val="260"/>
        </w:trPr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 9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отбор и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правилам охраны труда.</w:t>
            </w:r>
          </w:p>
        </w:tc>
        <w:tc>
          <w:tcPr>
            <w:tcW w:w="7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отбор и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правилам охраны труда.</w:t>
            </w:r>
          </w:p>
          <w:p w:rsidR="004E4822" w:rsidRDefault="004E4822" w:rsidP="003209A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  <w:tc>
          <w:tcPr>
            <w:tcW w:w="851" w:type="dxa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trHeight w:val="554"/>
        </w:trPr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trHeight w:val="862"/>
        </w:trPr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10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социальное страхование.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и основные принципы социального страхования.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  <w:tc>
          <w:tcPr>
            <w:tcW w:w="851" w:type="dxa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trHeight w:val="1761"/>
        </w:trPr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11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и технические противопожарные мероприятия.  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Огнестойкость зданий.</w:t>
            </w:r>
          </w:p>
          <w:p w:rsidR="004E4822" w:rsidRDefault="004E4822" w:rsidP="003209A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  <w:tc>
          <w:tcPr>
            <w:tcW w:w="851" w:type="dxa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trHeight w:val="886"/>
        </w:trPr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12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санитарии к производству.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предотвращающие действие на работающих вредных производственных факторов.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E4822" w:rsidRDefault="004E4822" w:rsidP="00320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  <w:tc>
          <w:tcPr>
            <w:tcW w:w="851" w:type="dxa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gridAfter w:val="1"/>
          <w:wAfter w:w="851" w:type="dxa"/>
          <w:trHeight w:val="96"/>
        </w:trPr>
        <w:tc>
          <w:tcPr>
            <w:tcW w:w="4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Тема 13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Вредные вещества и защита от них</w:t>
            </w:r>
          </w:p>
        </w:tc>
        <w:tc>
          <w:tcPr>
            <w:tcW w:w="7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вредными веществами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96"/>
        </w:trPr>
        <w:tc>
          <w:tcPr>
            <w:tcW w:w="4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14</w:t>
            </w:r>
          </w:p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производственному освещению.</w:t>
            </w:r>
          </w:p>
        </w:tc>
        <w:tc>
          <w:tcPr>
            <w:tcW w:w="7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сведения.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нормирования освещения. Расчет освещения.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ЛР19</w:t>
            </w:r>
          </w:p>
        </w:tc>
      </w:tr>
      <w:tr w:rsidR="004E4822" w:rsidTr="003209AC">
        <w:trPr>
          <w:gridAfter w:val="1"/>
          <w:wAfter w:w="851" w:type="dxa"/>
          <w:trHeight w:val="60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15.Дифференцированный зачет по курсу  «Охрана труда»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E4822" w:rsidTr="003209AC">
        <w:trPr>
          <w:gridAfter w:val="1"/>
          <w:wAfter w:w="851" w:type="dxa"/>
          <w:trHeight w:val="60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22" w:rsidRPr="002951D8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22" w:rsidRDefault="004E4822" w:rsidP="003209A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E4822">
          <w:pgSz w:w="16838" w:h="11906" w:orient="landscape"/>
          <w:pgMar w:top="426" w:right="1134" w:bottom="2694" w:left="1134" w:header="709" w:footer="709" w:gutter="0"/>
          <w:cols w:space="720"/>
        </w:sectPr>
      </w:pP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4E4822" w:rsidRDefault="004E4822" w:rsidP="004E482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обеспечению: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программы дисциплины ОП 10 «Охрана труда» требует наличия учебного кабинета.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учебного кабинета: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посадочные места по количеству обучающихся – 25 посадочных мест;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преподавателя – 1 место;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стендов: «Медико-санитарная подготовка», «Гражданская оборона»;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плакатов: «Безопасность жизнедеятельности», «Охрана труда», «Медико-санитарная подготовка»;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табельных и подручных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оказания первой доврачебной медицинской помощи;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средств индивидуальной защиты (противогазы, респираторы,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противодымные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маски);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первичных средств пожаротушения;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бланков документации;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дидактического материала (карточки-задания, тесты, раздаточный материал для</w:t>
      </w:r>
      <w:proofErr w:type="gramEnd"/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выполнения практических и контрольных работ);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мультимедийных презентаций,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экран.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рабочих мест: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учащихся;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письменные принадлежности.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рекомендуемых учебных изданий,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Интернет-ресурсов, дополнительной литературы</w:t>
      </w:r>
    </w:p>
    <w:p w:rsidR="004E4822" w:rsidRDefault="004E4822" w:rsidP="004E482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Девисилов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В.А. Охрана труда: Учебник. – М.: ИНФРА-М, 2009</w:t>
      </w:r>
    </w:p>
    <w:p w:rsidR="004E4822" w:rsidRDefault="004E4822" w:rsidP="004E48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Кланица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В.С. Охрана труда на автомобильном транспорте. – М.: Академия, 2010     </w:t>
      </w:r>
    </w:p>
    <w:p w:rsidR="004E4822" w:rsidRDefault="004E4822" w:rsidP="004E4822"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24C85" w:rsidRDefault="00524C85"/>
    <w:sectPr w:rsidR="0052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A8"/>
    <w:rsid w:val="00073FB1"/>
    <w:rsid w:val="004E4822"/>
    <w:rsid w:val="00524C85"/>
    <w:rsid w:val="00C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2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822"/>
    <w:pPr>
      <w:ind w:left="720"/>
    </w:pPr>
  </w:style>
  <w:style w:type="paragraph" w:customStyle="1" w:styleId="1">
    <w:name w:val="Абзац списка1"/>
    <w:basedOn w:val="a"/>
    <w:rsid w:val="004E48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2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822"/>
    <w:pPr>
      <w:ind w:left="720"/>
    </w:pPr>
  </w:style>
  <w:style w:type="paragraph" w:customStyle="1" w:styleId="1">
    <w:name w:val="Абзац списка1"/>
    <w:basedOn w:val="a"/>
    <w:rsid w:val="004E48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1697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Елена Евгеньевна</cp:lastModifiedBy>
  <cp:revision>3</cp:revision>
  <dcterms:created xsi:type="dcterms:W3CDTF">2022-09-09T07:29:00Z</dcterms:created>
  <dcterms:modified xsi:type="dcterms:W3CDTF">2022-09-10T04:41:00Z</dcterms:modified>
</cp:coreProperties>
</file>